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[Сегмент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[Сегмент 2]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[Сегмент 3]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Пол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Возраст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Семейное положение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Дети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Место проживания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Род занятий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Доход и Соц.статус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Места обитания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Самая большая неудовлетворенность в жизни этого потенциального клиента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случится в их жизни, если они не будут решать свою проблему и оставят всё так, как есть?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Шаги, которые он принимает, чтобы устранить неудовлетворенность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у них могут возникнуть преграды на пути решения своей проблемы?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Кто принимает решение о покупке?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Нужны ли согласования о покупке?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Факторы принятия решения о покупке?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для него ценно и важно?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Боли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Страхи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его раздражает, сердит? Чем он может быть недоволен?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он думает о цене на ваш продукт?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Готов ли он купить?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ему нравится и не нравится  в ваших конкурентах?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Источники информации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Общая манера поведения при покупке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Логика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Приоритет выбора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995" w:top="141.73228346456693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pZhs20ARGidyt2AQvF4zSgmrBw==">CgMxLjAyCGguZ2pkZ3hzOAByITE3YTFvcWJsTF9hOVdVdlZxOWdEZGVyTFM5clR2am8xVg==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2022-10-22T05:26:00Z</dcterms:created>
</cp:coreProperties>
</file>